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776B96">
        <w:rPr>
          <w:rFonts w:ascii="Arial" w:hAnsi="Arial" w:cs="Arial"/>
          <w:color w:val="4BACC6" w:themeColor="accent5"/>
          <w:sz w:val="24"/>
          <w:szCs w:val="24"/>
        </w:rPr>
        <w:t>s</w:t>
      </w:r>
      <w:r w:rsidR="00BF0A0D">
        <w:rPr>
          <w:rFonts w:ascii="Arial" w:hAnsi="Arial" w:cs="Arial"/>
          <w:color w:val="4BACC6" w:themeColor="accent5"/>
          <w:sz w:val="24"/>
          <w:szCs w:val="24"/>
        </w:rPr>
        <w:t>iete de junio de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BF0A0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BF0A0D" w:rsidRDefault="00BF0A0D" w:rsidP="00BF0A0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776B96" w:rsidRDefault="00776B96" w:rsidP="00BF0A0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En primer lugar, es necesario insertar </w:t>
      </w:r>
      <w:r>
        <w:rPr>
          <w:rFonts w:ascii="Arial" w:hAnsi="Arial" w:cs="Arial"/>
          <w:color w:val="4BACC6" w:themeColor="accent5"/>
          <w:sz w:val="24"/>
          <w:szCs w:val="24"/>
        </w:rPr>
        <w:t>e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l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resolutivo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dictado en la </w:t>
      </w:r>
      <w:r>
        <w:rPr>
          <w:rFonts w:ascii="Arial" w:hAnsi="Arial" w:cs="Arial"/>
          <w:color w:val="4BACC6" w:themeColor="accent5"/>
          <w:sz w:val="24"/>
          <w:szCs w:val="24"/>
        </w:rPr>
        <w:t>presente determinación:</w:t>
      </w:r>
    </w:p>
    <w:p w:rsidR="00D63EFC" w:rsidRDefault="00D63EFC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</w:p>
    <w:p w:rsidR="00BF0A0D" w:rsidRPr="00D63EFC" w:rsidRDefault="00776B96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D63EFC">
        <w:rPr>
          <w:rFonts w:ascii="Arial" w:hAnsi="Arial" w:cs="Arial"/>
          <w:i/>
          <w:color w:val="4BACC6" w:themeColor="accent5"/>
          <w:sz w:val="20"/>
          <w:szCs w:val="20"/>
        </w:rPr>
        <w:t>“…</w:t>
      </w:r>
      <w:r w:rsidR="00BF0A0D" w:rsidRPr="00D63EFC">
        <w:rPr>
          <w:rFonts w:ascii="Arial" w:hAnsi="Arial" w:cs="Arial"/>
          <w:b/>
          <w:i/>
          <w:color w:val="4BACC6" w:themeColor="accent5"/>
          <w:sz w:val="20"/>
          <w:szCs w:val="20"/>
        </w:rPr>
        <w:t>6.1. Sentido y efectos de esta resolución.</w:t>
      </w:r>
    </w:p>
    <w:p w:rsidR="00BF0A0D" w:rsidRPr="00D63EFC" w:rsidRDefault="00BF0A0D" w:rsidP="00D63EFC">
      <w:pPr>
        <w:spacing w:after="0" w:line="240" w:lineRule="auto"/>
        <w:ind w:firstLine="708"/>
        <w:jc w:val="both"/>
        <w:rPr>
          <w:rFonts w:ascii="Arial" w:hAnsi="Arial" w:cs="Arial"/>
          <w:b/>
          <w:i/>
          <w:color w:val="4BACC6" w:themeColor="accent5"/>
          <w:sz w:val="20"/>
          <w:szCs w:val="20"/>
        </w:rPr>
      </w:pPr>
    </w:p>
    <w:p w:rsidR="00BF0A0D" w:rsidRPr="00D63EFC" w:rsidRDefault="00BF0A0D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D63EFC">
        <w:rPr>
          <w:rFonts w:ascii="Arial" w:hAnsi="Arial" w:cs="Arial"/>
          <w:i/>
          <w:color w:val="4BACC6" w:themeColor="accent5"/>
          <w:sz w:val="20"/>
          <w:szCs w:val="20"/>
        </w:rPr>
        <w:t xml:space="preserve">Por las consideraciones expuestas, esta </w:t>
      </w:r>
      <w:r w:rsidR="00776B96" w:rsidRPr="00D63EFC">
        <w:rPr>
          <w:rFonts w:ascii="Arial" w:hAnsi="Arial" w:cs="Arial"/>
          <w:i/>
          <w:color w:val="4BACC6" w:themeColor="accent5"/>
          <w:sz w:val="20"/>
          <w:szCs w:val="20"/>
        </w:rPr>
        <w:t xml:space="preserve">Comisión Estatal de Garantía de Acceso a la Información Pública </w:t>
      </w:r>
      <w:r w:rsidRPr="00D63EFC">
        <w:rPr>
          <w:rFonts w:ascii="Arial" w:hAnsi="Arial" w:cs="Arial"/>
          <w:i/>
          <w:color w:val="4BACC6" w:themeColor="accent5"/>
          <w:sz w:val="20"/>
          <w:szCs w:val="20"/>
        </w:rPr>
        <w:t xml:space="preserve">de conformidad con el artículo 175, fracción III de la Ley de Transparencia y Acceso a la Información Pública del Estado </w:t>
      </w:r>
      <w:r w:rsidRPr="00D63EFC">
        <w:rPr>
          <w:rFonts w:ascii="Arial" w:hAnsi="Arial" w:cs="Arial"/>
          <w:b/>
          <w:i/>
          <w:color w:val="4BACC6" w:themeColor="accent5"/>
          <w:sz w:val="20"/>
          <w:szCs w:val="20"/>
        </w:rPr>
        <w:t>MODIFICA</w:t>
      </w:r>
      <w:r w:rsidR="00776B96" w:rsidRPr="00D63EFC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Pr="00D63EFC">
        <w:rPr>
          <w:rFonts w:ascii="Arial" w:hAnsi="Arial" w:cs="Arial"/>
          <w:i/>
          <w:color w:val="4BACC6" w:themeColor="accent5"/>
          <w:sz w:val="20"/>
          <w:szCs w:val="20"/>
        </w:rPr>
        <w:t>la respuesta de la autoridad y lo conmina para que:</w:t>
      </w:r>
    </w:p>
    <w:p w:rsidR="00BF0A0D" w:rsidRPr="00D63EFC" w:rsidRDefault="00BF0A0D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</w:p>
    <w:p w:rsidR="00BF0A0D" w:rsidRPr="00D63EFC" w:rsidRDefault="00BF0A0D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D63EFC">
        <w:rPr>
          <w:rFonts w:ascii="Arial" w:hAnsi="Arial" w:cs="Arial"/>
          <w:i/>
          <w:color w:val="4BACC6" w:themeColor="accent5"/>
          <w:sz w:val="20"/>
          <w:szCs w:val="20"/>
        </w:rPr>
        <w:t>6.2.1. Otorgue una nueva respuesta al particular en la que lo oriente a la entidad pública competente para atender la solicitud de información, proporcionando todos los datos de contacto necesarios.</w:t>
      </w:r>
    </w:p>
    <w:p w:rsidR="00BF0A0D" w:rsidRPr="00D63EFC" w:rsidRDefault="00BF0A0D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</w:p>
    <w:p w:rsidR="00490BC0" w:rsidRPr="00D63EFC" w:rsidRDefault="00BF0A0D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D63EFC">
        <w:rPr>
          <w:rFonts w:ascii="Arial" w:hAnsi="Arial" w:cs="Arial"/>
          <w:i/>
          <w:color w:val="4BACC6" w:themeColor="accent5"/>
          <w:sz w:val="20"/>
          <w:szCs w:val="20"/>
        </w:rPr>
        <w:t xml:space="preserve">Lo anterior, deberá de realizarlo a través del correo electrónico señalado por el peticionario para recibir notificaciones, en virtud </w:t>
      </w:r>
      <w:bookmarkStart w:id="0" w:name="_GoBack"/>
      <w:bookmarkEnd w:id="0"/>
      <w:r w:rsidRPr="00D63EFC">
        <w:rPr>
          <w:rFonts w:ascii="Arial" w:hAnsi="Arial" w:cs="Arial"/>
          <w:i/>
          <w:color w:val="4BACC6" w:themeColor="accent5"/>
          <w:sz w:val="20"/>
          <w:szCs w:val="20"/>
        </w:rPr>
        <w:t>de que su solicitud de información fue presentada mediante la Plataforma Nacional de Transparencia y ya no es posible que se le otorgue por este medio</w:t>
      </w:r>
      <w:r w:rsidR="00776B96" w:rsidRPr="00D63EFC">
        <w:rPr>
          <w:rFonts w:ascii="Arial" w:hAnsi="Arial" w:cs="Arial"/>
          <w:i/>
          <w:color w:val="4BACC6" w:themeColor="accent5"/>
          <w:sz w:val="20"/>
          <w:szCs w:val="20"/>
        </w:rPr>
        <w:t>.”</w:t>
      </w:r>
    </w:p>
    <w:p w:rsidR="00776B96" w:rsidRDefault="00776B96" w:rsidP="00776B96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492D02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92D02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del</w:t>
      </w:r>
      <w:r w:rsidR="00776B96" w:rsidRPr="00492D02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492D02"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492D02" w:rsidRPr="00492D02">
        <w:rPr>
          <w:rFonts w:ascii="Arial" w:hAnsi="Arial" w:cs="Arial"/>
          <w:color w:val="4BACC6" w:themeColor="accent5"/>
          <w:sz w:val="24"/>
          <w:szCs w:val="24"/>
        </w:rPr>
        <w:t>SF-</w:t>
      </w:r>
      <w:r w:rsidRPr="00492D02">
        <w:rPr>
          <w:rFonts w:ascii="Arial" w:hAnsi="Arial" w:cs="Arial"/>
          <w:color w:val="4BACC6" w:themeColor="accent5"/>
          <w:sz w:val="24"/>
          <w:szCs w:val="24"/>
        </w:rPr>
        <w:t>UT</w:t>
      </w:r>
      <w:r w:rsidR="00492D02" w:rsidRPr="00492D02">
        <w:rPr>
          <w:rFonts w:ascii="Arial" w:hAnsi="Arial" w:cs="Arial"/>
          <w:color w:val="4BACC6" w:themeColor="accent5"/>
          <w:sz w:val="24"/>
          <w:szCs w:val="24"/>
        </w:rPr>
        <w:t>/175</w:t>
      </w:r>
      <w:r w:rsidRPr="00492D02">
        <w:rPr>
          <w:rFonts w:ascii="Arial" w:hAnsi="Arial" w:cs="Arial"/>
          <w:color w:val="4BACC6" w:themeColor="accent5"/>
          <w:sz w:val="24"/>
          <w:szCs w:val="24"/>
        </w:rPr>
        <w:t>/201</w:t>
      </w:r>
      <w:r w:rsidR="00492D02" w:rsidRPr="00492D02">
        <w:rPr>
          <w:rFonts w:ascii="Arial" w:hAnsi="Arial" w:cs="Arial"/>
          <w:color w:val="4BACC6" w:themeColor="accent5"/>
          <w:sz w:val="24"/>
          <w:szCs w:val="24"/>
        </w:rPr>
        <w:t>7</w:t>
      </w:r>
      <w:r w:rsidRPr="00492D02">
        <w:rPr>
          <w:rFonts w:ascii="Arial" w:hAnsi="Arial" w:cs="Arial"/>
          <w:color w:val="4BACC6" w:themeColor="accent5"/>
          <w:sz w:val="24"/>
          <w:szCs w:val="24"/>
        </w:rPr>
        <w:t xml:space="preserve"> signado por el Jefe de la Unidad de Transparencia de la </w:t>
      </w:r>
      <w:r w:rsidR="00492D02" w:rsidRPr="00492D02">
        <w:rPr>
          <w:rFonts w:ascii="Arial" w:hAnsi="Arial" w:cs="Arial"/>
          <w:color w:val="4BACC6" w:themeColor="accent5"/>
          <w:sz w:val="24"/>
          <w:szCs w:val="24"/>
        </w:rPr>
        <w:t xml:space="preserve">Secretaria De Finanzas </w:t>
      </w:r>
      <w:r w:rsidRPr="00492D02">
        <w:rPr>
          <w:rFonts w:ascii="Arial" w:hAnsi="Arial" w:cs="Arial"/>
          <w:color w:val="4BACC6" w:themeColor="accent5"/>
          <w:sz w:val="24"/>
          <w:szCs w:val="24"/>
        </w:rPr>
        <w:t xml:space="preserve">del Poder Ejecutivo del Estado, </w:t>
      </w:r>
      <w:r w:rsidR="00776B96" w:rsidRPr="00492D02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492D02" w:rsidRPr="00492D02">
        <w:rPr>
          <w:rFonts w:ascii="Arial" w:hAnsi="Arial" w:cs="Arial"/>
          <w:color w:val="4BACC6" w:themeColor="accent5"/>
          <w:sz w:val="24"/>
          <w:szCs w:val="24"/>
        </w:rPr>
        <w:t>primero de diciembre de dos mil diecisiete</w:t>
      </w:r>
      <w:r w:rsidRPr="00492D02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492D02" w:rsidRPr="00492D02">
        <w:rPr>
          <w:rFonts w:ascii="Arial" w:hAnsi="Arial" w:cs="Arial"/>
          <w:color w:val="4BACC6" w:themeColor="accent5"/>
          <w:sz w:val="24"/>
          <w:szCs w:val="24"/>
        </w:rPr>
        <w:t>4</w:t>
      </w:r>
      <w:r w:rsidRPr="00492D02">
        <w:rPr>
          <w:rFonts w:ascii="Arial" w:hAnsi="Arial" w:cs="Arial"/>
          <w:color w:val="4BACC6" w:themeColor="accent5"/>
          <w:sz w:val="24"/>
          <w:szCs w:val="24"/>
        </w:rPr>
        <w:t xml:space="preserve"> anexos, donde informa sobre el cumplimiento al resolutivo en análisis y señala medularmente lo siguiente:</w:t>
      </w:r>
    </w:p>
    <w:p w:rsidR="00490BC0" w:rsidRPr="00492D02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492D02" w:rsidRDefault="00490BC0" w:rsidP="00490BC0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492D02">
        <w:rPr>
          <w:rFonts w:ascii="Arial" w:hAnsi="Arial" w:cs="Arial"/>
          <w:i/>
          <w:color w:val="4BACC6" w:themeColor="accent5"/>
        </w:rPr>
        <w:t xml:space="preserve"> </w:t>
      </w:r>
      <w:r w:rsidRPr="00492D02">
        <w:rPr>
          <w:rFonts w:ascii="Arial" w:hAnsi="Arial" w:cs="Arial"/>
          <w:i/>
          <w:color w:val="4BACC6" w:themeColor="accent5"/>
          <w:sz w:val="20"/>
          <w:szCs w:val="20"/>
        </w:rPr>
        <w:t xml:space="preserve">[…] </w:t>
      </w:r>
      <w:r w:rsidR="00776B96" w:rsidRPr="00492D02">
        <w:rPr>
          <w:rFonts w:ascii="Arial" w:hAnsi="Arial" w:cs="Arial"/>
          <w:i/>
          <w:color w:val="4BACC6" w:themeColor="accent5"/>
          <w:sz w:val="20"/>
          <w:szCs w:val="20"/>
        </w:rPr>
        <w:t xml:space="preserve">Se tenga </w:t>
      </w:r>
      <w:r w:rsidR="00492D02" w:rsidRPr="00492D02">
        <w:rPr>
          <w:rFonts w:ascii="Arial" w:hAnsi="Arial" w:cs="Arial"/>
          <w:i/>
          <w:color w:val="4BACC6" w:themeColor="accent5"/>
          <w:sz w:val="20"/>
          <w:szCs w:val="20"/>
        </w:rPr>
        <w:t>a la Secretaria de Finanzas por conducto de su Unidad de Transparencia por realizando manifestaciones</w:t>
      </w:r>
      <w:r w:rsidR="00A313A9" w:rsidRPr="00492D02">
        <w:rPr>
          <w:rFonts w:ascii="Arial" w:hAnsi="Arial" w:cs="Arial"/>
          <w:i/>
          <w:color w:val="4BACC6" w:themeColor="accent5"/>
          <w:sz w:val="20"/>
          <w:szCs w:val="20"/>
        </w:rPr>
        <w:t>.</w:t>
      </w:r>
      <w:r w:rsidRPr="00492D02">
        <w:rPr>
          <w:rFonts w:ascii="Arial" w:hAnsi="Arial" w:cs="Arial"/>
          <w:i/>
          <w:color w:val="4BACC6" w:themeColor="accent5"/>
          <w:sz w:val="20"/>
          <w:szCs w:val="20"/>
        </w:rPr>
        <w:t xml:space="preserve"> […].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492D02">
        <w:rPr>
          <w:rFonts w:cs="Arial"/>
          <w:color w:val="4BACC6" w:themeColor="accent5"/>
          <w:sz w:val="24"/>
          <w:szCs w:val="24"/>
        </w:rPr>
        <w:t>35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492D02">
        <w:rPr>
          <w:rFonts w:cs="Arial"/>
          <w:color w:val="4BACC6" w:themeColor="accent5"/>
          <w:sz w:val="24"/>
          <w:szCs w:val="24"/>
        </w:rPr>
        <w:t>52</w:t>
      </w:r>
      <w:r w:rsidR="00A313A9">
        <w:rPr>
          <w:rFonts w:cs="Arial"/>
          <w:color w:val="4BACC6" w:themeColor="accent5"/>
          <w:sz w:val="24"/>
          <w:szCs w:val="24"/>
        </w:rPr>
        <w:t xml:space="preserve"> </w:t>
      </w:r>
      <w:r w:rsidR="001D0AE1">
        <w:rPr>
          <w:rFonts w:cs="Arial"/>
          <w:color w:val="4BACC6" w:themeColor="accent5"/>
          <w:sz w:val="24"/>
          <w:szCs w:val="24"/>
        </w:rPr>
        <w:t>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8712F3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</w:t>
      </w:r>
      <w:r w:rsidR="00492D02">
        <w:rPr>
          <w:rFonts w:ascii="Arial" w:hAnsi="Arial" w:cs="Arial"/>
          <w:color w:val="4BACC6" w:themeColor="accent5"/>
          <w:sz w:val="24"/>
          <w:szCs w:val="24"/>
        </w:rPr>
        <w:t xml:space="preserve">dio cumplimiento a la resolución que nos ocupa </w:t>
      </w:r>
      <w:r w:rsidR="00A313A9">
        <w:rPr>
          <w:rFonts w:ascii="Arial" w:hAnsi="Arial" w:cs="Arial"/>
          <w:color w:val="4BACC6" w:themeColor="accent5"/>
          <w:sz w:val="24"/>
          <w:szCs w:val="24"/>
        </w:rPr>
        <w:t>conforme al artículo 184 de la Ley de Transparencia y Acceso a la</w:t>
      </w:r>
      <w:r w:rsidR="008712F3">
        <w:rPr>
          <w:rFonts w:ascii="Arial" w:hAnsi="Arial" w:cs="Arial"/>
          <w:color w:val="4BACC6" w:themeColor="accent5"/>
          <w:sz w:val="24"/>
          <w:szCs w:val="24"/>
        </w:rPr>
        <w:t xml:space="preserve"> i</w:t>
      </w:r>
      <w:r w:rsidR="00A313A9">
        <w:rPr>
          <w:rFonts w:ascii="Arial" w:hAnsi="Arial" w:cs="Arial"/>
          <w:color w:val="4BACC6" w:themeColor="accent5"/>
          <w:sz w:val="24"/>
          <w:szCs w:val="24"/>
        </w:rPr>
        <w:t xml:space="preserve">nformación </w:t>
      </w:r>
      <w:r w:rsidR="008712F3">
        <w:rPr>
          <w:rFonts w:ascii="Arial" w:hAnsi="Arial" w:cs="Arial"/>
          <w:color w:val="4BACC6" w:themeColor="accent5"/>
          <w:sz w:val="24"/>
          <w:szCs w:val="24"/>
        </w:rPr>
        <w:t>Pública del Estado, que a la letra dice:</w:t>
      </w:r>
    </w:p>
    <w:p w:rsidR="008712F3" w:rsidRDefault="008712F3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712F3" w:rsidRPr="008712F3" w:rsidRDefault="008712F3" w:rsidP="00D63EFC">
      <w:pPr>
        <w:spacing w:line="240" w:lineRule="auto"/>
        <w:ind w:left="-5" w:firstLine="713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8712F3">
        <w:rPr>
          <w:rFonts w:ascii="Arial" w:hAnsi="Arial" w:cs="Arial"/>
          <w:i/>
          <w:color w:val="4BACC6" w:themeColor="accent5"/>
          <w:sz w:val="20"/>
          <w:szCs w:val="20"/>
        </w:rPr>
        <w:lastRenderedPageBreak/>
        <w:t>“</w:t>
      </w:r>
      <w:r w:rsidRPr="008712F3">
        <w:rPr>
          <w:rFonts w:ascii="Arial" w:hAnsi="Arial" w:cs="Arial"/>
          <w:b/>
          <w:i/>
          <w:color w:val="4BACC6" w:themeColor="accent5"/>
          <w:sz w:val="20"/>
          <w:szCs w:val="20"/>
        </w:rPr>
        <w:t>ARTÍCULO 184.</w:t>
      </w:r>
      <w:r w:rsidRPr="008712F3">
        <w:rPr>
          <w:rFonts w:ascii="Arial" w:hAnsi="Arial" w:cs="Arial"/>
          <w:i/>
          <w:color w:val="4BACC6" w:themeColor="accent5"/>
          <w:sz w:val="20"/>
          <w:szCs w:val="20"/>
        </w:rPr>
        <w:t xml:space="preserve"> Transcurrido el plazo señalado en el artículo anterior, el sujeto obligado deberá informar a la CEGAIP sobre el cumplimento de la resolución.</w:t>
      </w:r>
    </w:p>
    <w:p w:rsidR="008712F3" w:rsidRPr="008712F3" w:rsidRDefault="008712F3" w:rsidP="00D63EFC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8712F3">
        <w:rPr>
          <w:rFonts w:ascii="Arial" w:hAnsi="Arial" w:cs="Arial"/>
          <w:i/>
          <w:color w:val="4BACC6" w:themeColor="accent5"/>
          <w:sz w:val="20"/>
          <w:szCs w:val="20"/>
        </w:rPr>
        <w:t>La CEGAIP verificará de oficio la calidad de la información y, a más tardar al día siguiente de recibir el informe, dará vista al recurrente para que, dentro de los cinco días siguientes, manifieste lo que a su derecho convenga. Si dentro del plazo señalado el recurrente manifiesta que el cumplimiento no corresponde a lo ordenado por la CEGAIP, deberá expresar las causas específicas por las cuales así lo considera.”</w:t>
      </w:r>
    </w:p>
    <w:p w:rsidR="008712F3" w:rsidRDefault="008712F3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CA29CD" w:rsidRPr="00B23C59" w:rsidRDefault="008712F3" w:rsidP="002639EB">
      <w:pPr>
        <w:spacing w:after="0" w:line="360" w:lineRule="auto"/>
        <w:ind w:firstLine="708"/>
        <w:jc w:val="both"/>
        <w:rPr>
          <w:rFonts w:ascii="Arial" w:eastAsia="Arial" w:hAnsi="Arial" w:cs="Arial"/>
          <w:i/>
          <w:color w:val="4BACC6" w:themeColor="accent5"/>
          <w:sz w:val="20"/>
          <w:szCs w:val="20"/>
        </w:rPr>
      </w:pPr>
      <w:r>
        <w:rPr>
          <w:rFonts w:ascii="Arial" w:hAnsi="Arial" w:cs="Arial"/>
          <w:color w:val="4BACC6" w:themeColor="accent5"/>
          <w:sz w:val="24"/>
          <w:szCs w:val="24"/>
        </w:rPr>
        <w:t xml:space="preserve"> Por lo anterior</w:t>
      </w:r>
      <w:r w:rsidRPr="008712F3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D21862" w:rsidRPr="008712F3">
        <w:rPr>
          <w:rFonts w:ascii="Arial" w:hAnsi="Arial" w:cs="Arial"/>
          <w:color w:val="4BACC6" w:themeColor="accent5"/>
          <w:sz w:val="24"/>
          <w:szCs w:val="24"/>
        </w:rPr>
        <w:t>se</w:t>
      </w:r>
      <w:r w:rsidR="001E317B" w:rsidRPr="008712F3">
        <w:rPr>
          <w:rFonts w:ascii="Arial" w:hAnsi="Arial"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8712F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1E317B" w:rsidRPr="008712F3">
        <w:rPr>
          <w:rFonts w:ascii="Arial" w:hAnsi="Arial" w:cs="Arial"/>
          <w:color w:val="4BACC6" w:themeColor="accent5"/>
          <w:sz w:val="24"/>
          <w:szCs w:val="24"/>
        </w:rPr>
        <w:t xml:space="preserve">y </w:t>
      </w:r>
      <w:r w:rsidR="00695310" w:rsidRPr="008712F3">
        <w:rPr>
          <w:rFonts w:ascii="Arial" w:hAnsi="Arial" w:cs="Arial"/>
          <w:color w:val="4BACC6" w:themeColor="accent5"/>
          <w:sz w:val="24"/>
          <w:szCs w:val="24"/>
        </w:rPr>
        <w:t>p</w:t>
      </w:r>
      <w:r w:rsidR="00426890" w:rsidRPr="008712F3">
        <w:rPr>
          <w:rFonts w:ascii="Arial" w:hAnsi="Arial" w:cs="Arial"/>
          <w:color w:val="4BACC6" w:themeColor="accent5"/>
          <w:sz w:val="24"/>
          <w:szCs w:val="24"/>
        </w:rPr>
        <w:t>or tanto se encuentra cumplida</w:t>
      </w:r>
      <w:r w:rsidR="002639EB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B23C59" w:rsidRPr="00D7336A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2639EB" w:rsidP="002639EB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En ese tenor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</w:t>
      </w:r>
      <w:r>
        <w:rPr>
          <w:rFonts w:ascii="Arial" w:hAnsi="Arial" w:cs="Arial"/>
          <w:color w:val="4BACC6" w:themeColor="accent5"/>
          <w:sz w:val="24"/>
          <w:szCs w:val="24"/>
        </w:rPr>
        <w:t>o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="00492D02">
        <w:rPr>
          <w:rFonts w:ascii="Arial" w:hAnsi="Arial" w:cs="Arial"/>
          <w:color w:val="4BACC6" w:themeColor="accent5"/>
          <w:sz w:val="24"/>
          <w:szCs w:val="24"/>
        </w:rPr>
        <w:t xml:space="preserve">eis de marzo </w:t>
      </w:r>
      <w:r>
        <w:rPr>
          <w:rFonts w:ascii="Arial" w:hAnsi="Arial" w:cs="Arial"/>
          <w:color w:val="4BACC6" w:themeColor="accent5"/>
          <w:sz w:val="24"/>
          <w:szCs w:val="24"/>
        </w:rPr>
        <w:t>del año en curso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492D02">
        <w:rPr>
          <w:rFonts w:ascii="Arial" w:hAnsi="Arial" w:cs="Arial"/>
          <w:color w:val="4BACC6" w:themeColor="accent5"/>
          <w:sz w:val="24"/>
          <w:szCs w:val="24"/>
        </w:rPr>
        <w:t>54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a </w:t>
      </w:r>
      <w:r w:rsidR="00492D02">
        <w:rPr>
          <w:rFonts w:ascii="Arial" w:hAnsi="Arial" w:cs="Arial"/>
          <w:color w:val="4BACC6" w:themeColor="accent5"/>
          <w:sz w:val="24"/>
          <w:szCs w:val="24"/>
        </w:rPr>
        <w:t>56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492D02">
        <w:rPr>
          <w:rFonts w:ascii="Arial" w:hAnsi="Arial" w:cs="Arial"/>
          <w:b/>
          <w:color w:val="4BACC6" w:themeColor="accent5"/>
          <w:sz w:val="24"/>
          <w:szCs w:val="24"/>
        </w:rPr>
        <w:t>769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D63EFC" w:rsidRDefault="00D63EF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D63EFC" w:rsidRDefault="00D63EF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D63EFC" w:rsidRDefault="00D63EF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D63EFC" w:rsidRDefault="00D63EF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D63EFC" w:rsidRDefault="00D63EF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D63EFC" w:rsidRDefault="00D63EF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477AF" w:rsidRPr="002639EB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2639EB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sectPr w:rsidR="002477AF" w:rsidRPr="002639EB" w:rsidSect="00D63EFC">
      <w:headerReference w:type="default" r:id="rId8"/>
      <w:footerReference w:type="default" r:id="rId9"/>
      <w:pgSz w:w="12240" w:h="20160" w:code="5"/>
      <w:pgMar w:top="2693" w:right="851" w:bottom="198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A85" w:rsidRDefault="003E3A85" w:rsidP="00A04BCB">
      <w:pPr>
        <w:spacing w:after="0" w:line="240" w:lineRule="auto"/>
      </w:pPr>
      <w:r>
        <w:separator/>
      </w:r>
    </w:p>
  </w:endnote>
  <w:endnote w:type="continuationSeparator" w:id="0">
    <w:p w:rsidR="003E3A85" w:rsidRDefault="003E3A85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A85" w:rsidRDefault="003E3A85" w:rsidP="00A04BCB">
      <w:pPr>
        <w:spacing w:after="0" w:line="240" w:lineRule="auto"/>
      </w:pPr>
      <w:r>
        <w:separator/>
      </w:r>
    </w:p>
  </w:footnote>
  <w:footnote w:type="continuationSeparator" w:id="0">
    <w:p w:rsidR="003E3A85" w:rsidRDefault="003E3A85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BF0A0D">
      <w:rPr>
        <w:rFonts w:ascii="Arial" w:hAnsi="Arial" w:cs="Arial"/>
        <w:b/>
      </w:rPr>
      <w:t>769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6"/>
  </w:num>
  <w:num w:numId="5">
    <w:abstractNumId w:val="12"/>
  </w:num>
  <w:num w:numId="6">
    <w:abstractNumId w:val="9"/>
  </w:num>
  <w:num w:numId="7">
    <w:abstractNumId w:val="2"/>
  </w:num>
  <w:num w:numId="8">
    <w:abstractNumId w:val="14"/>
  </w:num>
  <w:num w:numId="9">
    <w:abstractNumId w:val="5"/>
  </w:num>
  <w:num w:numId="10">
    <w:abstractNumId w:val="1"/>
  </w:num>
  <w:num w:numId="11">
    <w:abstractNumId w:val="8"/>
  </w:num>
  <w:num w:numId="12">
    <w:abstractNumId w:val="13"/>
  </w:num>
  <w:num w:numId="13">
    <w:abstractNumId w:val="10"/>
  </w:num>
  <w:num w:numId="14">
    <w:abstractNumId w:val="7"/>
  </w:num>
  <w:num w:numId="15">
    <w:abstractNumId w:val="0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39EB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2F733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C636D"/>
    <w:rsid w:val="003E3238"/>
    <w:rsid w:val="003E3A85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750F8"/>
    <w:rsid w:val="00485806"/>
    <w:rsid w:val="00490BC0"/>
    <w:rsid w:val="00491923"/>
    <w:rsid w:val="00492D02"/>
    <w:rsid w:val="004935E2"/>
    <w:rsid w:val="0049533B"/>
    <w:rsid w:val="00495EBE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04DE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5071B"/>
    <w:rsid w:val="007558D7"/>
    <w:rsid w:val="00763E45"/>
    <w:rsid w:val="00771755"/>
    <w:rsid w:val="00772104"/>
    <w:rsid w:val="00774BC8"/>
    <w:rsid w:val="00776B96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34F5"/>
    <w:rsid w:val="00845E58"/>
    <w:rsid w:val="00852028"/>
    <w:rsid w:val="0085470E"/>
    <w:rsid w:val="008712F3"/>
    <w:rsid w:val="00874C83"/>
    <w:rsid w:val="0088125B"/>
    <w:rsid w:val="008839E5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313A9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BF0A0D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63EFC"/>
    <w:rsid w:val="00D71D0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2220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74D1A-9B74-4846-BD79-38C9FCDCB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4</cp:revision>
  <cp:lastPrinted>2018-06-07T14:10:00Z</cp:lastPrinted>
  <dcterms:created xsi:type="dcterms:W3CDTF">2018-06-06T20:29:00Z</dcterms:created>
  <dcterms:modified xsi:type="dcterms:W3CDTF">2018-06-07T14:10:00Z</dcterms:modified>
</cp:coreProperties>
</file>